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en-US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 xml:space="preserve">Table 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S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 xml:space="preserve">1. 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T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de-DE" w:bidi="en-US"/>
        </w:rPr>
        <w:t>reatment regimens and dosage in the Model</w:t>
      </w:r>
    </w:p>
    <w:tbl>
      <w:tblPr>
        <w:tblStyle w:val="4"/>
        <w:tblpPr w:leftFromText="180" w:rightFromText="180" w:vertAnchor="page" w:horzAnchor="page" w:tblpX="658" w:tblpY="2838"/>
        <w:tblOverlap w:val="never"/>
        <w:tblW w:w="15009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835"/>
        <w:gridCol w:w="5715"/>
        <w:gridCol w:w="4029"/>
        <w:gridCol w:w="24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835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textAlignment w:val="auto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  <w:t>Regimens</w:t>
            </w:r>
          </w:p>
        </w:tc>
        <w:tc>
          <w:tcPr>
            <w:tcW w:w="5715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textAlignment w:val="auto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  <w:t>Dose Sizes</w:t>
            </w:r>
          </w:p>
        </w:tc>
        <w:tc>
          <w:tcPr>
            <w:tcW w:w="4029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textAlignment w:val="auto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en-US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  <w:t>Infusion Timing</w:t>
            </w:r>
          </w:p>
        </w:tc>
        <w:tc>
          <w:tcPr>
            <w:tcW w:w="2430" w:type="dxa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00" w:firstLineChars="200"/>
              <w:textAlignment w:val="auto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lang w:val="en-US" w:eastAsia="zh-CN" w:bidi="en-US"/>
              </w:rPr>
              <w:t>Ref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4" w:hRule="atLeast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1st-line pembrolizumab plus EP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pembrolizumab,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200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mg;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etoposide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,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100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mg/m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2;            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carboplatin, AUC 5.0 mg/ml/min; or cisplatin, 75 mg/m2 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pembrolizumab,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3weeks 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up to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35 cycles;  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EP, 3 weeks for the fist 4 cycles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Charles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, et al., 20201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" w:hRule="atLeast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1st-line placebo plus EP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etoposide,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100 mg/m2;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carboplatin,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AUC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5.0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mg/ml/min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;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or cisplatin,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75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mg/m2 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saline placebo,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3 weeks up for 35 cycles;  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EP, 3 weeks for the fist 4 cycles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Charles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, et al., 20201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1" w:hRule="atLeast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2nd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-line nivolumab plus ipilimumab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nivolumab,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3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mg/kg;      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ipilimumab,1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mg/kg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nivolumab, 2 weeks;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Ipilimumab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,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6 weeks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Hellmann, et al., 20192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 w:hRule="atLeast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2nd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-line etoposide plus carboplatin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etoposide,100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mg/m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; 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                   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carboplatin, AUC 5.0 mg/ml/min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3 weeks up to 6 cycles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Nathalie, et al., 20203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" w:hRule="atLeast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2nd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-line topotecan 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t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opotecan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,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2.3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mg/m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        </w:t>
            </w:r>
          </w:p>
        </w:tc>
        <w:tc>
          <w:tcPr>
            <w:tcW w:w="4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3 weeks up to 6 cycles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Nathalie, et al., 20203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83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2nd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-line irinotecan</w:t>
            </w:r>
          </w:p>
        </w:tc>
        <w:tc>
          <w:tcPr>
            <w:tcW w:w="5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irinotecan,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50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mg/m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2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;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                  </w:t>
            </w:r>
          </w:p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carboplatin, AUC5.0 mg/ml/min </w:t>
            </w:r>
          </w:p>
        </w:tc>
        <w:tc>
          <w:tcPr>
            <w:tcW w:w="4029" w:type="dxa"/>
            <w:tcBorders>
              <w:top w:val="nil"/>
              <w:left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3 weeks up to 6 cycles</w:t>
            </w: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Schmittel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, et al., 20064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EP,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etoposide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-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platinum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; AUC,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area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under the curve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sectPr>
          <w:pgSz w:w="16838" w:h="11906" w:orient="landscape"/>
          <w:pgMar w:top="1800" w:right="1440" w:bottom="1800" w:left="144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 xml:space="preserve">Table 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S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>2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. S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urvival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functions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 xml:space="preserve"> 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fitted and extrapolated</w:t>
      </w:r>
    </w:p>
    <w:tbl>
      <w:tblPr>
        <w:tblStyle w:val="4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2"/>
        <w:gridCol w:w="990"/>
        <w:gridCol w:w="905"/>
        <w:gridCol w:w="855"/>
        <w:gridCol w:w="931"/>
        <w:gridCol w:w="779"/>
        <w:gridCol w:w="885"/>
        <w:gridCol w:w="869"/>
        <w:gridCol w:w="88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34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S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urvival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function</w:t>
            </w:r>
          </w:p>
        </w:tc>
        <w:tc>
          <w:tcPr>
            <w:tcW w:w="2159" w:type="pct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embrolizumab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plus EP</w:t>
            </w:r>
          </w:p>
        </w:tc>
        <w:tc>
          <w:tcPr>
            <w:tcW w:w="2005" w:type="pct"/>
            <w:gridSpan w:val="4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placebo plus EP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834" w:type="pct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  <w:tc>
          <w:tcPr>
            <w:tcW w:w="1111" w:type="pct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OS</w:t>
            </w:r>
          </w:p>
        </w:tc>
        <w:tc>
          <w:tcPr>
            <w:tcW w:w="1047" w:type="pct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PFS</w:t>
            </w:r>
          </w:p>
        </w:tc>
        <w:tc>
          <w:tcPr>
            <w:tcW w:w="976" w:type="pct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OS</w:t>
            </w:r>
          </w:p>
        </w:tc>
        <w:tc>
          <w:tcPr>
            <w:tcW w:w="1029" w:type="pct"/>
            <w:gridSpan w:val="2"/>
            <w:tcBorders>
              <w:top w:val="single" w:color="auto" w:sz="4" w:space="0"/>
            </w:tcBorders>
            <w:shd w:val="clear" w:color="auto" w:fill="auto"/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PFS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34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　</w:t>
            </w:r>
          </w:p>
        </w:tc>
        <w:tc>
          <w:tcPr>
            <w:tcW w:w="580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AIC</w:t>
            </w:r>
          </w:p>
        </w:tc>
        <w:tc>
          <w:tcPr>
            <w:tcW w:w="530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BIC</w:t>
            </w:r>
          </w:p>
        </w:tc>
        <w:tc>
          <w:tcPr>
            <w:tcW w:w="501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AIC</w:t>
            </w:r>
          </w:p>
        </w:tc>
        <w:tc>
          <w:tcPr>
            <w:tcW w:w="546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BIC</w:t>
            </w:r>
          </w:p>
        </w:tc>
        <w:tc>
          <w:tcPr>
            <w:tcW w:w="457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AIC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BIC</w:t>
            </w:r>
          </w:p>
        </w:tc>
        <w:tc>
          <w:tcPr>
            <w:tcW w:w="50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AIC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BIC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4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Exponential</w:t>
            </w:r>
          </w:p>
        </w:tc>
        <w:tc>
          <w:tcPr>
            <w:tcW w:w="580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-193.0 </w:t>
            </w:r>
          </w:p>
        </w:tc>
        <w:tc>
          <w:tcPr>
            <w:tcW w:w="530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-189.1 </w:t>
            </w:r>
          </w:p>
        </w:tc>
        <w:tc>
          <w:tcPr>
            <w:tcW w:w="501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-197.8 </w:t>
            </w:r>
          </w:p>
        </w:tc>
        <w:tc>
          <w:tcPr>
            <w:tcW w:w="546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-192.6 </w:t>
            </w:r>
          </w:p>
        </w:tc>
        <w:tc>
          <w:tcPr>
            <w:tcW w:w="457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-217.4 </w:t>
            </w:r>
          </w:p>
        </w:tc>
        <w:tc>
          <w:tcPr>
            <w:tcW w:w="519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-212.2 </w:t>
            </w:r>
          </w:p>
        </w:tc>
        <w:tc>
          <w:tcPr>
            <w:tcW w:w="509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-99.8 </w:t>
            </w:r>
          </w:p>
        </w:tc>
        <w:tc>
          <w:tcPr>
            <w:tcW w:w="519" w:type="pct"/>
            <w:tcBorders>
              <w:top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-94.7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4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Weibull</w:t>
            </w:r>
          </w:p>
        </w:tc>
        <w:tc>
          <w:tcPr>
            <w:tcW w:w="580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-228.1 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-222.2 </w:t>
            </w:r>
          </w:p>
        </w:tc>
        <w:tc>
          <w:tcPr>
            <w:tcW w:w="501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-280.6 </w:t>
            </w:r>
          </w:p>
        </w:tc>
        <w:tc>
          <w:tcPr>
            <w:tcW w:w="546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-272.8 </w:t>
            </w:r>
          </w:p>
        </w:tc>
        <w:tc>
          <w:tcPr>
            <w:tcW w:w="457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-389.6 </w:t>
            </w:r>
          </w:p>
        </w:tc>
        <w:tc>
          <w:tcPr>
            <w:tcW w:w="519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-381.7 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-287.9 </w:t>
            </w:r>
          </w:p>
        </w:tc>
        <w:tc>
          <w:tcPr>
            <w:tcW w:w="519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-280.3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4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Log-normal </w:t>
            </w:r>
          </w:p>
        </w:tc>
        <w:tc>
          <w:tcPr>
            <w:tcW w:w="580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-293.3 </w:t>
            </w:r>
          </w:p>
        </w:tc>
        <w:tc>
          <w:tcPr>
            <w:tcW w:w="530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-284.7 </w:t>
            </w:r>
          </w:p>
        </w:tc>
        <w:tc>
          <w:tcPr>
            <w:tcW w:w="501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-334.9 </w:t>
            </w:r>
          </w:p>
        </w:tc>
        <w:tc>
          <w:tcPr>
            <w:tcW w:w="546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-327.1 </w:t>
            </w:r>
          </w:p>
        </w:tc>
        <w:tc>
          <w:tcPr>
            <w:tcW w:w="457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-435.7 </w:t>
            </w:r>
          </w:p>
        </w:tc>
        <w:tc>
          <w:tcPr>
            <w:tcW w:w="519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-427.6 </w:t>
            </w:r>
          </w:p>
        </w:tc>
        <w:tc>
          <w:tcPr>
            <w:tcW w:w="509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-311.8 </w:t>
            </w:r>
          </w:p>
        </w:tc>
        <w:tc>
          <w:tcPr>
            <w:tcW w:w="519" w:type="pct"/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-304.2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834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Log-logistic </w:t>
            </w:r>
          </w:p>
        </w:tc>
        <w:tc>
          <w:tcPr>
            <w:tcW w:w="580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-283.6 </w:t>
            </w:r>
          </w:p>
        </w:tc>
        <w:tc>
          <w:tcPr>
            <w:tcW w:w="530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-277.6 </w:t>
            </w:r>
          </w:p>
        </w:tc>
        <w:tc>
          <w:tcPr>
            <w:tcW w:w="501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-357.3 </w:t>
            </w:r>
          </w:p>
        </w:tc>
        <w:tc>
          <w:tcPr>
            <w:tcW w:w="546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-349.5 </w:t>
            </w:r>
          </w:p>
        </w:tc>
        <w:tc>
          <w:tcPr>
            <w:tcW w:w="457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-578.1 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-570.3 </w:t>
            </w:r>
          </w:p>
        </w:tc>
        <w:tc>
          <w:tcPr>
            <w:tcW w:w="50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-326.7 </w:t>
            </w:r>
          </w:p>
        </w:tc>
        <w:tc>
          <w:tcPr>
            <w:tcW w:w="519" w:type="pct"/>
            <w:tcBorders>
              <w:bottom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-319.0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Table S3. Cost and Utility Parameters </w:t>
      </w:r>
    </w:p>
    <w:tbl>
      <w:tblPr>
        <w:tblStyle w:val="5"/>
        <w:tblW w:w="915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76"/>
        <w:gridCol w:w="1635"/>
        <w:gridCol w:w="3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Parameters</w:t>
            </w:r>
          </w:p>
        </w:tc>
        <w:tc>
          <w:tcPr>
            <w:tcW w:w="1635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Baseline values</w:t>
            </w:r>
          </w:p>
        </w:tc>
        <w:tc>
          <w:tcPr>
            <w:tcW w:w="3840" w:type="dxa"/>
            <w:tcBorders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Source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Cost(2020 $US)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Regimen related costs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embrolizumab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49.39 </w:t>
            </w: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toposide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1.51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arboplatin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0.06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isplatin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0.19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ivolumab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27.81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pilimumab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153.13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Topotecan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414.63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rinotecan price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/mg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0.12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 2020 ASP Drug Pricing Files5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Chemotherapy infusion 1 hour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142.55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CMS.gov6, HCPCS code 96413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Chemotherapy infusion additional hour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30.68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CMS.gov6, HCPCS code 96415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36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Adverse event management costs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eutropenia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12365</w:t>
            </w: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hcupnet.ahrq.gov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nemia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7248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hcupnet.ahrq.gov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T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hrombocytopenia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11198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hcupnet.ahrq.gov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P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neumonia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9057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hcupnet.ahrq.gov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ther 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d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isease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m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anagement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c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osts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O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utpatient follow-up visit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52.33</w:t>
            </w: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fldChar w:fldCharType="begin"/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instrText xml:space="preserve"> HYPERLINK "https://pubmed.ncbi.nlm.nih.gov/?term=Zhang+L&amp;cauthor_id=33344252" </w:instrTex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fldChar w:fldCharType="separate"/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Zhang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fldChar w:fldCharType="end"/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,et al.,20208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Monthly supportive care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637.00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Criss,et al.,20198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Death</w:t>
            </w: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 </w:t>
            </w: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associated costs</w:t>
            </w:r>
          </w:p>
        </w:tc>
        <w:tc>
          <w:tcPr>
            <w:tcW w:w="1635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9433</w:t>
            </w:r>
          </w:p>
        </w:tc>
        <w:tc>
          <w:tcPr>
            <w:tcW w:w="384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Criss,et al.,20198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>Utilities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&gt;12 months prior to death 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0.834 </w:t>
            </w:r>
          </w:p>
        </w:tc>
        <w:tc>
          <w:tcPr>
            <w:tcW w:w="384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Insinga, et al., 201810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6-12 months prior to death 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0.765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Insinga, et al., 201810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1-6 months prior to death </w:t>
            </w:r>
          </w:p>
        </w:tc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0.709 </w:t>
            </w:r>
          </w:p>
        </w:tc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Insinga, et al., 201810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676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1 month prior to death </w:t>
            </w:r>
          </w:p>
        </w:tc>
        <w:tc>
          <w:tcPr>
            <w:tcW w:w="1635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0.563 </w:t>
            </w:r>
          </w:p>
        </w:tc>
        <w:tc>
          <w:tcPr>
            <w:tcW w:w="3840" w:type="dxa"/>
            <w:tcBorders>
              <w:top w:val="nil"/>
              <w:left w:val="nil"/>
              <w:right w:val="nil"/>
            </w:tcBorders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</w:pPr>
            <w:r>
              <w:rPr>
                <w:rFonts w:hint="eastAsia" w:ascii="Palatino Linotype" w:hAnsi="Palatino Linotype" w:eastAsia="Times New Roman" w:cs="Times New Roman"/>
                <w:snapToGrid w:val="0"/>
                <w:color w:val="000000"/>
                <w:sz w:val="20"/>
                <w:szCs w:val="22"/>
                <w:lang w:val="en-US" w:eastAsia="zh-CN" w:bidi="en-US"/>
              </w:rPr>
              <w:t xml:space="preserve">Insinga, et al., 201810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</w:pPr>
      <w:bookmarkStart w:id="2" w:name="_GoBack"/>
      <w:bookmarkEnd w:id="2"/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 xml:space="preserve">eReferences </w:t>
      </w:r>
    </w:p>
    <w:p>
      <w:pPr>
        <w:pStyle w:val="12"/>
        <w:rPr>
          <w:rFonts w:hint="default"/>
          <w:szCs w:val="22"/>
          <w:lang w:val="en-US" w:eastAsia="zh-CN"/>
        </w:rPr>
      </w:pPr>
      <w:bookmarkStart w:id="0" w:name="_neb44781A8D_D9BA_4B1C_BC4E_570C7B2F6E40"/>
      <w:r>
        <w:rPr>
          <w:rFonts w:hint="default"/>
          <w:szCs w:val="22"/>
          <w:lang w:val="en-US" w:eastAsia="zh-CN"/>
        </w:rPr>
        <w:t>C.M. Rudin, M.M. Awad, A. Navarro,</w:t>
      </w:r>
      <w:r>
        <w:rPr>
          <w:rFonts w:hint="eastAsia"/>
          <w:szCs w:val="22"/>
          <w:lang w:val="en-US" w:eastAsia="zh-CN"/>
        </w:rPr>
        <w:t xml:space="preserve"> et al. </w:t>
      </w:r>
      <w:r>
        <w:rPr>
          <w:rFonts w:hint="default"/>
          <w:szCs w:val="22"/>
          <w:lang w:val="en-US" w:eastAsia="zh-CN"/>
        </w:rPr>
        <w:t>Pembrolizumab or Placebo Plus Etoposide and Platinum as First-Line Therapy for  Extensive-Stage Small-Cell Lung Cancer: Randomized, Double-Blind, Phase III  KEYNOTE-604 Study, J. Clin. Oncol. 38 (21) (2020) 2369-2379.</w:t>
      </w:r>
      <w:bookmarkEnd w:id="0"/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default"/>
          <w:szCs w:val="22"/>
          <w:lang w:val="en-US" w:eastAsia="de-DE"/>
        </w:rPr>
        <w:fldChar w:fldCharType="begin"/>
      </w:r>
      <w:r>
        <w:rPr>
          <w:rFonts w:hint="default"/>
          <w:szCs w:val="22"/>
          <w:lang w:val="en-US" w:eastAsia="de-DE"/>
        </w:rPr>
        <w:instrText xml:space="preserve"> HYPERLINK "https://pubmed.ncbi.nlm.nih.gov/?term=Hellmann+MD&amp;cauthor_id=31562796" </w:instrText>
      </w:r>
      <w:r>
        <w:rPr>
          <w:rFonts w:hint="default"/>
          <w:szCs w:val="22"/>
          <w:lang w:val="en-US" w:eastAsia="de-DE"/>
        </w:rPr>
        <w:fldChar w:fldCharType="separate"/>
      </w:r>
      <w:r>
        <w:rPr>
          <w:rFonts w:hint="default"/>
          <w:szCs w:val="22"/>
          <w:lang w:val="en-US" w:eastAsia="de-DE"/>
        </w:rPr>
        <w:t>Matthew D Hellmann</w:t>
      </w:r>
      <w:r>
        <w:rPr>
          <w:rFonts w:hint="default"/>
          <w:szCs w:val="22"/>
          <w:lang w:val="en-US" w:eastAsia="de-DE"/>
        </w:rPr>
        <w:fldChar w:fldCharType="end"/>
      </w:r>
      <w:r>
        <w:rPr>
          <w:rFonts w:hint="default"/>
          <w:szCs w:val="22"/>
          <w:lang w:val="en-US" w:eastAsia="zh-CN"/>
        </w:rPr>
        <w:t>,</w:t>
      </w:r>
      <w:r>
        <w:rPr>
          <w:rFonts w:hint="default"/>
          <w:szCs w:val="22"/>
          <w:lang w:val="en-US" w:eastAsia="de-DE"/>
        </w:rPr>
        <w:fldChar w:fldCharType="begin"/>
      </w:r>
      <w:r>
        <w:rPr>
          <w:rFonts w:hint="default"/>
          <w:szCs w:val="22"/>
          <w:lang w:val="en-US" w:eastAsia="de-DE"/>
        </w:rPr>
        <w:instrText xml:space="preserve"> HYPERLINK "https://pubmed.ncbi.nlm.nih.gov/?term=Paz-Ares+L&amp;cauthor_id=31562796" </w:instrText>
      </w:r>
      <w:r>
        <w:rPr>
          <w:rFonts w:hint="default"/>
          <w:szCs w:val="22"/>
          <w:lang w:val="en-US" w:eastAsia="de-DE"/>
        </w:rPr>
        <w:fldChar w:fldCharType="separate"/>
      </w:r>
      <w:r>
        <w:rPr>
          <w:rFonts w:hint="default"/>
          <w:szCs w:val="22"/>
          <w:lang w:val="en-US" w:eastAsia="de-DE"/>
        </w:rPr>
        <w:t>Luis Paz-Ares</w:t>
      </w:r>
      <w:r>
        <w:rPr>
          <w:rFonts w:hint="default"/>
          <w:szCs w:val="22"/>
          <w:lang w:val="en-US" w:eastAsia="de-DE"/>
        </w:rPr>
        <w:fldChar w:fldCharType="end"/>
      </w:r>
      <w:r>
        <w:rPr>
          <w:rFonts w:hint="default"/>
          <w:szCs w:val="22"/>
          <w:lang w:val="en-US" w:eastAsia="zh-CN"/>
        </w:rPr>
        <w:t>,</w:t>
      </w:r>
      <w:r>
        <w:rPr>
          <w:rFonts w:hint="default"/>
          <w:szCs w:val="22"/>
          <w:lang w:val="en-US" w:eastAsia="de-DE"/>
        </w:rPr>
        <w:fldChar w:fldCharType="begin"/>
      </w:r>
      <w:r>
        <w:rPr>
          <w:rFonts w:hint="default"/>
          <w:szCs w:val="22"/>
          <w:lang w:val="en-US" w:eastAsia="de-DE"/>
        </w:rPr>
        <w:instrText xml:space="preserve"> HYPERLINK "https://pubmed.ncbi.nlm.nih.gov/?term=Bernabe+Caro+R&amp;cauthor_id=31562796" </w:instrText>
      </w:r>
      <w:r>
        <w:rPr>
          <w:rFonts w:hint="default"/>
          <w:szCs w:val="22"/>
          <w:lang w:val="en-US" w:eastAsia="de-DE"/>
        </w:rPr>
        <w:fldChar w:fldCharType="separate"/>
      </w:r>
      <w:r>
        <w:rPr>
          <w:rFonts w:hint="default"/>
          <w:szCs w:val="22"/>
          <w:lang w:val="en-US" w:eastAsia="de-DE"/>
        </w:rPr>
        <w:t>Reyes Bernabe Caro</w:t>
      </w:r>
      <w:r>
        <w:rPr>
          <w:rFonts w:hint="default"/>
          <w:szCs w:val="22"/>
          <w:lang w:val="en-US" w:eastAsia="de-DE"/>
        </w:rPr>
        <w:fldChar w:fldCharType="end"/>
      </w:r>
      <w:r>
        <w:rPr>
          <w:rFonts w:hint="default"/>
          <w:szCs w:val="22"/>
          <w:lang w:val="en-US" w:eastAsia="zh-CN"/>
        </w:rPr>
        <w:t>, etal.</w:t>
      </w:r>
      <w:r>
        <w:rPr>
          <w:rFonts w:hint="default"/>
          <w:szCs w:val="22"/>
          <w:lang w:val="en-US" w:eastAsia="de-DE"/>
        </w:rPr>
        <w:t> Nivolumab plus Ipilimumab in Advanced Non-Small-Cell Lung Cancer</w:t>
      </w:r>
      <w:r>
        <w:rPr>
          <w:rFonts w:hint="default"/>
          <w:szCs w:val="22"/>
          <w:lang w:val="en-US" w:eastAsia="zh-CN"/>
        </w:rPr>
        <w:t>.N Engl J Med,</w:t>
      </w:r>
      <w:r>
        <w:rPr>
          <w:rFonts w:hint="default"/>
          <w:szCs w:val="22"/>
          <w:lang w:val="en-US" w:eastAsia="de-DE"/>
        </w:rPr>
        <w:t> 2019 Nov 21;381(21):2020-2031.</w:t>
      </w:r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default"/>
          <w:szCs w:val="22"/>
          <w:lang w:val="en-US" w:eastAsia="de-DE"/>
        </w:rPr>
        <w:fldChar w:fldCharType="begin"/>
      </w:r>
      <w:r>
        <w:rPr>
          <w:rFonts w:hint="default"/>
          <w:szCs w:val="22"/>
          <w:lang w:val="en-US" w:eastAsia="de-DE"/>
        </w:rPr>
        <w:instrText xml:space="preserve"> HYPERLINK "https://pubmed.ncbi.nlm.nih.gov/?term=Baize+N&amp;cauthor_id=32888454" </w:instrText>
      </w:r>
      <w:r>
        <w:rPr>
          <w:rFonts w:hint="default"/>
          <w:szCs w:val="22"/>
          <w:lang w:val="en-US" w:eastAsia="de-DE"/>
        </w:rPr>
        <w:fldChar w:fldCharType="separate"/>
      </w:r>
      <w:r>
        <w:rPr>
          <w:rFonts w:hint="default"/>
          <w:szCs w:val="22"/>
          <w:lang w:val="en-US" w:eastAsia="de-DE"/>
        </w:rPr>
        <w:t>Nathalie Baize</w:t>
      </w:r>
      <w:r>
        <w:rPr>
          <w:rFonts w:hint="default"/>
          <w:szCs w:val="22"/>
          <w:lang w:val="en-US" w:eastAsia="de-DE"/>
        </w:rPr>
        <w:fldChar w:fldCharType="end"/>
      </w:r>
      <w:r>
        <w:rPr>
          <w:rFonts w:hint="default"/>
          <w:szCs w:val="22"/>
          <w:lang w:val="en-US" w:eastAsia="de-DE"/>
        </w:rPr>
        <w:t>, </w:t>
      </w:r>
      <w:r>
        <w:rPr>
          <w:rFonts w:hint="default"/>
          <w:szCs w:val="22"/>
          <w:lang w:val="en-US" w:eastAsia="de-DE"/>
        </w:rPr>
        <w:fldChar w:fldCharType="begin"/>
      </w:r>
      <w:r>
        <w:rPr>
          <w:rFonts w:hint="default"/>
          <w:szCs w:val="22"/>
          <w:lang w:val="en-US" w:eastAsia="de-DE"/>
        </w:rPr>
        <w:instrText xml:space="preserve"> HYPERLINK "https://pubmed.ncbi.nlm.nih.gov/?term=Monnet+I&amp;cauthor_id=32888454" </w:instrText>
      </w:r>
      <w:r>
        <w:rPr>
          <w:rFonts w:hint="default"/>
          <w:szCs w:val="22"/>
          <w:lang w:val="en-US" w:eastAsia="de-DE"/>
        </w:rPr>
        <w:fldChar w:fldCharType="separate"/>
      </w:r>
      <w:r>
        <w:rPr>
          <w:rFonts w:hint="default"/>
          <w:szCs w:val="22"/>
          <w:lang w:val="en-US" w:eastAsia="de-DE"/>
        </w:rPr>
        <w:t>Isabelle Monnet</w:t>
      </w:r>
      <w:r>
        <w:rPr>
          <w:rFonts w:hint="default"/>
          <w:szCs w:val="22"/>
          <w:lang w:val="en-US" w:eastAsia="de-DE"/>
        </w:rPr>
        <w:fldChar w:fldCharType="end"/>
      </w:r>
      <w:r>
        <w:rPr>
          <w:rFonts w:hint="default"/>
          <w:szCs w:val="22"/>
          <w:lang w:val="en-US" w:eastAsia="de-DE"/>
        </w:rPr>
        <w:t>, </w:t>
      </w:r>
      <w:r>
        <w:rPr>
          <w:rFonts w:hint="default"/>
          <w:szCs w:val="22"/>
          <w:lang w:val="en-US" w:eastAsia="de-DE"/>
        </w:rPr>
        <w:fldChar w:fldCharType="begin"/>
      </w:r>
      <w:r>
        <w:rPr>
          <w:rFonts w:hint="default"/>
          <w:szCs w:val="22"/>
          <w:lang w:val="en-US" w:eastAsia="de-DE"/>
        </w:rPr>
        <w:instrText xml:space="preserve"> HYPERLINK "https://pubmed.ncbi.nlm.nih.gov/?term=Greillier+L&amp;cauthor_id=32888454" </w:instrText>
      </w:r>
      <w:r>
        <w:rPr>
          <w:rFonts w:hint="default"/>
          <w:szCs w:val="22"/>
          <w:lang w:val="en-US" w:eastAsia="de-DE"/>
        </w:rPr>
        <w:fldChar w:fldCharType="separate"/>
      </w:r>
      <w:r>
        <w:rPr>
          <w:rFonts w:hint="default"/>
          <w:szCs w:val="22"/>
          <w:lang w:val="en-US" w:eastAsia="de-DE"/>
        </w:rPr>
        <w:t>Laurent Greillier</w:t>
      </w:r>
      <w:r>
        <w:rPr>
          <w:rFonts w:hint="default"/>
          <w:szCs w:val="22"/>
          <w:lang w:val="en-US" w:eastAsia="de-DE"/>
        </w:rPr>
        <w:fldChar w:fldCharType="end"/>
      </w:r>
      <w:r>
        <w:rPr>
          <w:rFonts w:hint="default"/>
          <w:szCs w:val="22"/>
          <w:lang w:val="en-US" w:eastAsia="zh-CN"/>
        </w:rPr>
        <w:t xml:space="preserve">, etal. </w:t>
      </w:r>
      <w:r>
        <w:rPr>
          <w:rFonts w:hint="default"/>
          <w:szCs w:val="22"/>
          <w:lang w:val="en-US" w:eastAsia="de-DE"/>
        </w:rPr>
        <w:t>Carboplatin plus etoposide versus topotecan as second-line treatment for patients with sensitive relapsed small-cell lung cancer: an open-label, multicentre, randomised, phase 3 trial</w:t>
      </w:r>
      <w:r>
        <w:rPr>
          <w:rFonts w:hint="default"/>
          <w:szCs w:val="22"/>
          <w:lang w:val="en-US" w:eastAsia="zh-CN"/>
        </w:rPr>
        <w:t>.Lancet Oncol</w:t>
      </w:r>
      <w:r>
        <w:rPr>
          <w:rFonts w:hint="default"/>
          <w:szCs w:val="22"/>
          <w:lang w:val="en-US" w:eastAsia="de-DE"/>
        </w:rPr>
        <w:t>. 2020 Sep;21(9):1224-1233.</w:t>
      </w:r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default"/>
          <w:szCs w:val="22"/>
          <w:lang w:val="en-US" w:eastAsia="en-US"/>
        </w:rPr>
        <w:fldChar w:fldCharType="begin"/>
      </w:r>
      <w:r>
        <w:rPr>
          <w:rFonts w:hint="default"/>
          <w:szCs w:val="22"/>
          <w:lang w:val="en-US" w:eastAsia="en-US"/>
        </w:rPr>
        <w:instrText xml:space="preserve"> HYPERLINK "https://pubmed.ncbi.nlm.nih.gov/?term=Schmittel+A&amp;cauthor_id=16423848" </w:instrText>
      </w:r>
      <w:r>
        <w:rPr>
          <w:rFonts w:hint="default"/>
          <w:szCs w:val="22"/>
          <w:lang w:val="en-US" w:eastAsia="en-US"/>
        </w:rPr>
        <w:fldChar w:fldCharType="separate"/>
      </w:r>
      <w:r>
        <w:rPr>
          <w:rFonts w:hint="default"/>
          <w:szCs w:val="22"/>
          <w:lang w:val="en-US" w:eastAsia="en-US"/>
        </w:rPr>
        <w:t>A Schmittel</w:t>
      </w:r>
      <w:r>
        <w:rPr>
          <w:rFonts w:hint="default"/>
          <w:szCs w:val="22"/>
          <w:lang w:val="en-US" w:eastAsia="en-US"/>
        </w:rPr>
        <w:fldChar w:fldCharType="end"/>
      </w:r>
      <w:r>
        <w:rPr>
          <w:rFonts w:hint="default"/>
          <w:szCs w:val="22"/>
          <w:lang w:val="en-US" w:eastAsia="en-US"/>
        </w:rPr>
        <w:t>, </w:t>
      </w:r>
      <w:r>
        <w:rPr>
          <w:rFonts w:hint="default"/>
          <w:szCs w:val="22"/>
          <w:lang w:val="en-US" w:eastAsia="en-US"/>
        </w:rPr>
        <w:fldChar w:fldCharType="begin"/>
      </w:r>
      <w:r>
        <w:rPr>
          <w:rFonts w:hint="default"/>
          <w:szCs w:val="22"/>
          <w:lang w:val="en-US" w:eastAsia="en-US"/>
        </w:rPr>
        <w:instrText xml:space="preserve"> HYPERLINK "https://pubmed.ncbi.nlm.nih.gov/?term=Fischer+von+Weikersthal+L&amp;cauthor_id=16423848" </w:instrText>
      </w:r>
      <w:r>
        <w:rPr>
          <w:rFonts w:hint="default"/>
          <w:szCs w:val="22"/>
          <w:lang w:val="en-US" w:eastAsia="en-US"/>
        </w:rPr>
        <w:fldChar w:fldCharType="separate"/>
      </w:r>
      <w:r>
        <w:rPr>
          <w:rFonts w:hint="default"/>
          <w:szCs w:val="22"/>
          <w:lang w:val="en-US" w:eastAsia="en-US"/>
        </w:rPr>
        <w:t>L Fischer von Weikersthal</w:t>
      </w:r>
      <w:r>
        <w:rPr>
          <w:rFonts w:hint="default"/>
          <w:szCs w:val="22"/>
          <w:lang w:val="en-US" w:eastAsia="en-US"/>
        </w:rPr>
        <w:fldChar w:fldCharType="end"/>
      </w:r>
      <w:r>
        <w:rPr>
          <w:rFonts w:hint="default"/>
          <w:szCs w:val="22"/>
          <w:lang w:val="en-US" w:eastAsia="en-US"/>
        </w:rPr>
        <w:t>, </w:t>
      </w:r>
      <w:r>
        <w:rPr>
          <w:rFonts w:hint="default"/>
          <w:szCs w:val="22"/>
          <w:lang w:val="en-US" w:eastAsia="en-US"/>
        </w:rPr>
        <w:fldChar w:fldCharType="begin"/>
      </w:r>
      <w:r>
        <w:rPr>
          <w:rFonts w:hint="default"/>
          <w:szCs w:val="22"/>
          <w:lang w:val="en-US" w:eastAsia="en-US"/>
        </w:rPr>
        <w:instrText xml:space="preserve"> HYPERLINK "https://pubmed.ncbi.nlm.nih.gov/?term=Sebastian+M&amp;cauthor_id=16423848" </w:instrText>
      </w:r>
      <w:r>
        <w:rPr>
          <w:rFonts w:hint="default"/>
          <w:szCs w:val="22"/>
          <w:lang w:val="en-US" w:eastAsia="en-US"/>
        </w:rPr>
        <w:fldChar w:fldCharType="separate"/>
      </w:r>
      <w:r>
        <w:rPr>
          <w:rFonts w:hint="default"/>
          <w:szCs w:val="22"/>
          <w:lang w:val="en-US" w:eastAsia="en-US"/>
        </w:rPr>
        <w:t>M Sebastian</w:t>
      </w:r>
      <w:r>
        <w:rPr>
          <w:rFonts w:hint="default"/>
          <w:szCs w:val="22"/>
          <w:lang w:val="en-US" w:eastAsia="en-US"/>
        </w:rPr>
        <w:fldChar w:fldCharType="end"/>
      </w:r>
      <w:r>
        <w:rPr>
          <w:rFonts w:hint="default"/>
          <w:szCs w:val="22"/>
          <w:lang w:val="en-US" w:eastAsia="en-US"/>
        </w:rPr>
        <w:t>, </w:t>
      </w:r>
      <w:r>
        <w:rPr>
          <w:rFonts w:hint="eastAsia"/>
          <w:szCs w:val="22"/>
          <w:lang w:val="en-US" w:eastAsia="zh-CN"/>
        </w:rPr>
        <w:t xml:space="preserve">etal. </w:t>
      </w:r>
      <w:r>
        <w:rPr>
          <w:rFonts w:hint="default"/>
          <w:szCs w:val="22"/>
          <w:lang w:val="en-US" w:eastAsia="en-US"/>
        </w:rPr>
        <w:t>A randomized phase II trial of irinotecan plus carboplatin versus etoposide plus carboplatin treatment in patients with extended disease small-cell lung cancer</w:t>
      </w:r>
      <w:r>
        <w:rPr>
          <w:rFonts w:hint="eastAsia"/>
          <w:szCs w:val="22"/>
          <w:lang w:val="en-US" w:eastAsia="zh-CN"/>
        </w:rPr>
        <w:t>.</w:t>
      </w:r>
      <w:r>
        <w:rPr>
          <w:rFonts w:hint="default"/>
          <w:szCs w:val="22"/>
          <w:lang w:val="en-US" w:eastAsia="zh-CN"/>
        </w:rPr>
        <w:t>Ann Oncol</w:t>
      </w:r>
      <w:r>
        <w:rPr>
          <w:rFonts w:hint="eastAsia"/>
          <w:szCs w:val="22"/>
          <w:lang w:val="en-US" w:eastAsia="zh-CN"/>
        </w:rPr>
        <w:t>.</w:t>
      </w:r>
      <w:r>
        <w:rPr>
          <w:rFonts w:hint="default"/>
          <w:szCs w:val="22"/>
          <w:lang w:val="en-US" w:eastAsia="de-DE"/>
        </w:rPr>
        <w:t>2006 Apr;17(4):663-7.</w:t>
      </w:r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en-US"/>
        </w:rPr>
        <w:t xml:space="preserve">Centers for Medicare and Medicaid Services. </w:t>
      </w:r>
      <w:r>
        <w:rPr>
          <w:rFonts w:hint="eastAsia"/>
          <w:szCs w:val="22"/>
          <w:lang w:val="en-US" w:eastAsia="zh-CN"/>
        </w:rPr>
        <w:t>October 2020</w:t>
      </w:r>
      <w:r>
        <w:rPr>
          <w:rFonts w:hint="eastAsia"/>
          <w:szCs w:val="22"/>
          <w:lang w:val="en-US" w:eastAsia="en-US"/>
        </w:rPr>
        <w:t xml:space="preserve"> ASP drug pricing files. https://www.cms.gov/license/ama?file=/files/zip/october-2020-asp-pricing-file.zipl. Published </w:t>
      </w:r>
      <w:r>
        <w:rPr>
          <w:rFonts w:hint="eastAsia"/>
          <w:szCs w:val="22"/>
          <w:lang w:val="en-US" w:eastAsia="zh-CN"/>
        </w:rPr>
        <w:t>October 3, 2020.</w:t>
      </w:r>
      <w:r>
        <w:rPr>
          <w:rFonts w:hint="eastAsia"/>
          <w:szCs w:val="22"/>
          <w:lang w:val="en-US" w:eastAsia="en-US"/>
        </w:rPr>
        <w:t xml:space="preserve">Accessed </w:t>
      </w:r>
      <w:r>
        <w:rPr>
          <w:rFonts w:hint="eastAsia"/>
          <w:szCs w:val="22"/>
          <w:lang w:val="en-US" w:eastAsia="zh-CN"/>
        </w:rPr>
        <w:t>October</w:t>
      </w:r>
      <w:r>
        <w:rPr>
          <w:rFonts w:hint="eastAsia"/>
          <w:szCs w:val="22"/>
          <w:lang w:val="en-US" w:eastAsia="en-US"/>
        </w:rPr>
        <w:t xml:space="preserve"> </w:t>
      </w:r>
      <w:r>
        <w:rPr>
          <w:rFonts w:hint="eastAsia"/>
          <w:szCs w:val="22"/>
          <w:lang w:val="en-US" w:eastAsia="zh-CN"/>
        </w:rPr>
        <w:t>20</w:t>
      </w:r>
      <w:r>
        <w:rPr>
          <w:rFonts w:hint="eastAsia"/>
          <w:szCs w:val="22"/>
          <w:lang w:val="en-US" w:eastAsia="en-US"/>
        </w:rPr>
        <w:t>, 20</w:t>
      </w:r>
      <w:r>
        <w:rPr>
          <w:rFonts w:hint="eastAsia"/>
          <w:szCs w:val="22"/>
          <w:lang w:val="en-US" w:eastAsia="zh-CN"/>
        </w:rPr>
        <w:t>20</w:t>
      </w:r>
      <w:r>
        <w:rPr>
          <w:rFonts w:hint="eastAsia"/>
          <w:szCs w:val="22"/>
          <w:lang w:val="en-US" w:eastAsia="en-US"/>
        </w:rPr>
        <w:t>.</w:t>
      </w:r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eastAsia"/>
          <w:szCs w:val="22"/>
          <w:lang w:val="en-US" w:eastAsia="de-DE"/>
        </w:rPr>
        <w:t>Physician Fee Schedule Search. Centers for Medicare &amp; Medicaid Services; 20</w:t>
      </w:r>
      <w:r>
        <w:rPr>
          <w:rFonts w:hint="eastAsia"/>
          <w:szCs w:val="22"/>
          <w:lang w:val="en-US" w:eastAsia="zh-CN"/>
        </w:rPr>
        <w:t>20</w:t>
      </w:r>
      <w:r>
        <w:rPr>
          <w:rFonts w:hint="eastAsia"/>
          <w:szCs w:val="22"/>
          <w:lang w:val="en-US" w:eastAsia="de-DE"/>
        </w:rPr>
        <w:t xml:space="preserve">. https://www.cms.gov/apps/physician-fee-schedule/search/search-criteria.aspx. Accessed </w:t>
      </w:r>
      <w:r>
        <w:rPr>
          <w:rFonts w:hint="eastAsia"/>
          <w:szCs w:val="22"/>
          <w:lang w:val="en-US" w:eastAsia="zh-CN"/>
        </w:rPr>
        <w:t>October</w:t>
      </w:r>
      <w:r>
        <w:rPr>
          <w:rFonts w:hint="eastAsia"/>
          <w:szCs w:val="22"/>
          <w:lang w:val="en-US" w:eastAsia="de-DE"/>
        </w:rPr>
        <w:t xml:space="preserve"> 20</w:t>
      </w:r>
      <w:r>
        <w:rPr>
          <w:rFonts w:hint="eastAsia"/>
          <w:szCs w:val="22"/>
          <w:lang w:val="en-US" w:eastAsia="zh-CN"/>
        </w:rPr>
        <w:t>20</w:t>
      </w:r>
      <w:r>
        <w:rPr>
          <w:rFonts w:hint="eastAsia"/>
          <w:szCs w:val="22"/>
          <w:lang w:val="en-US" w:eastAsia="de-DE"/>
        </w:rPr>
        <w:t>.</w:t>
      </w:r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default"/>
          <w:szCs w:val="22"/>
          <w:lang w:val="en-US" w:eastAsia="de-DE"/>
        </w:rPr>
        <w:t>Agency for Healthcare Research and Quality, U.S. Department of Health &amp; Human Services. Healthcare cost</w:t>
      </w:r>
      <w:r>
        <w:rPr>
          <w:rFonts w:hint="default"/>
          <w:szCs w:val="22"/>
          <w:lang w:val="en-US" w:eastAsia="zh-CN"/>
        </w:rPr>
        <w:t xml:space="preserve"> </w:t>
      </w:r>
      <w:r>
        <w:rPr>
          <w:rFonts w:hint="default"/>
          <w:szCs w:val="22"/>
          <w:lang w:val="en-US" w:eastAsia="de-DE"/>
        </w:rPr>
        <w:t>and utilization project. https://hcupnet.ahrq.gov. Accessed</w:t>
      </w:r>
      <w:r>
        <w:rPr>
          <w:rFonts w:hint="default"/>
          <w:szCs w:val="22"/>
          <w:lang w:val="en-US" w:eastAsia="zh-CN"/>
        </w:rPr>
        <w:t xml:space="preserve"> October</w:t>
      </w:r>
      <w:r>
        <w:rPr>
          <w:rFonts w:hint="default"/>
          <w:szCs w:val="22"/>
          <w:lang w:val="en-US" w:eastAsia="de-DE"/>
        </w:rPr>
        <w:t xml:space="preserve"> </w:t>
      </w:r>
      <w:r>
        <w:rPr>
          <w:rFonts w:hint="default"/>
          <w:szCs w:val="22"/>
          <w:lang w:val="en-US" w:eastAsia="zh-CN"/>
        </w:rPr>
        <w:t>12</w:t>
      </w:r>
      <w:r>
        <w:rPr>
          <w:rFonts w:hint="default"/>
          <w:szCs w:val="22"/>
          <w:lang w:val="en-US" w:eastAsia="de-DE"/>
        </w:rPr>
        <w:t>, 20</w:t>
      </w:r>
      <w:r>
        <w:rPr>
          <w:rFonts w:hint="default"/>
          <w:szCs w:val="22"/>
          <w:lang w:val="en-US" w:eastAsia="zh-CN"/>
        </w:rPr>
        <w:t>20</w:t>
      </w:r>
      <w:r>
        <w:rPr>
          <w:rFonts w:hint="default"/>
          <w:szCs w:val="22"/>
          <w:lang w:val="en-US" w:eastAsia="de-DE"/>
        </w:rPr>
        <w:t>.</w:t>
      </w:r>
    </w:p>
    <w:p>
      <w:pPr>
        <w:pStyle w:val="12"/>
        <w:rPr>
          <w:rFonts w:hint="eastAsia"/>
          <w:szCs w:val="22"/>
          <w:lang w:val="en-US" w:eastAsia="zh-CN"/>
        </w:rPr>
      </w:pPr>
      <w:r>
        <w:rPr>
          <w:rFonts w:hint="default"/>
          <w:szCs w:val="22"/>
          <w:lang w:val="en-US" w:eastAsia="zh-CN"/>
        </w:rPr>
        <w:t>L. Zhang, Y. Hang, M. Liu, N. Li, H. Cai</w:t>
      </w:r>
      <w:r>
        <w:rPr>
          <w:rFonts w:hint="eastAsia"/>
          <w:szCs w:val="22"/>
          <w:lang w:val="en-US" w:eastAsia="zh-CN"/>
        </w:rPr>
        <w:t xml:space="preserve">. </w:t>
      </w:r>
      <w:r>
        <w:rPr>
          <w:rFonts w:hint="default"/>
          <w:szCs w:val="22"/>
          <w:lang w:val="en-US" w:eastAsia="zh-CN"/>
        </w:rPr>
        <w:t>First-Line Durvalumab Plus Platinum-Etoposide Versus Platinum-Etoposide for  Extensive-Stage Small-Cell Lung Cancer: A Cost-Effectiveness Analysis, Front Oncol 10 (2020) 602185.</w:t>
      </w:r>
      <w:bookmarkStart w:id="1" w:name="_nebD0B14090_89E8_4721_802E_9E1D9B3F2BA8"/>
    </w:p>
    <w:p>
      <w:pPr>
        <w:pStyle w:val="12"/>
        <w:rPr>
          <w:rFonts w:hint="default"/>
          <w:szCs w:val="22"/>
          <w:lang w:val="en-US" w:eastAsia="zh-CN"/>
        </w:rPr>
      </w:pPr>
      <w:r>
        <w:rPr>
          <w:rFonts w:hint="eastAsia"/>
          <w:szCs w:val="22"/>
          <w:lang w:val="en-US" w:eastAsia="zh-CN"/>
        </w:rPr>
        <w:t xml:space="preserve"> </w:t>
      </w:r>
      <w:r>
        <w:rPr>
          <w:rFonts w:hint="default"/>
          <w:szCs w:val="22"/>
          <w:lang w:val="en-US" w:eastAsia="zh-CN"/>
        </w:rPr>
        <w:t>S.D. Criss, M.J. Mooradian, T.R. Watson, J.F. Gainor, K.L. Reynolds, C.Y. Kong</w:t>
      </w:r>
      <w:r>
        <w:rPr>
          <w:rFonts w:hint="eastAsia"/>
          <w:szCs w:val="22"/>
          <w:lang w:val="en-US" w:eastAsia="zh-CN"/>
        </w:rPr>
        <w:t>.</w:t>
      </w:r>
      <w:r>
        <w:rPr>
          <w:rFonts w:hint="default"/>
          <w:szCs w:val="22"/>
          <w:lang w:val="en-US" w:eastAsia="zh-CN"/>
        </w:rPr>
        <w:t xml:space="preserve"> Cost-effectiveness of Atezolizumab Combination Therapy for First-Line Treatment of  Metastatic Nonsquamous Non-Small Cell Lung Cancer in the United States, JAMA Netw Open 2 (9) (2019) e1911952.</w:t>
      </w:r>
      <w:bookmarkEnd w:id="1"/>
    </w:p>
    <w:p>
      <w:pPr>
        <w:pStyle w:val="12"/>
        <w:rPr>
          <w:rFonts w:hint="default"/>
          <w:szCs w:val="22"/>
          <w:lang w:val="en-US" w:eastAsia="zh-CN"/>
        </w:rPr>
      </w:pPr>
      <w:r>
        <w:rPr>
          <w:rFonts w:hint="default"/>
          <w:szCs w:val="22"/>
          <w:lang w:val="en-US" w:eastAsia="de-DE"/>
        </w:rPr>
        <w:t>Agency for Healthcare Research and Quality, U.S. Department of Health &amp; Human Services. Healthcare cost</w:t>
      </w:r>
      <w:r>
        <w:rPr>
          <w:rFonts w:hint="default"/>
          <w:szCs w:val="22"/>
          <w:lang w:val="en-US" w:eastAsia="zh-CN"/>
        </w:rPr>
        <w:t xml:space="preserve"> </w:t>
      </w:r>
      <w:r>
        <w:rPr>
          <w:rFonts w:hint="default"/>
          <w:szCs w:val="22"/>
          <w:lang w:val="en-US" w:eastAsia="de-DE"/>
        </w:rPr>
        <w:t>and utilization project. https://hcupnet.ahrq.gov. Accessed</w:t>
      </w:r>
      <w:r>
        <w:rPr>
          <w:rFonts w:hint="default"/>
          <w:szCs w:val="22"/>
          <w:lang w:val="en-US" w:eastAsia="zh-CN"/>
        </w:rPr>
        <w:t xml:space="preserve"> October</w:t>
      </w:r>
      <w:r>
        <w:rPr>
          <w:rFonts w:hint="default"/>
          <w:szCs w:val="22"/>
          <w:lang w:val="en-US" w:eastAsia="de-DE"/>
        </w:rPr>
        <w:t xml:space="preserve"> </w:t>
      </w:r>
      <w:r>
        <w:rPr>
          <w:rFonts w:hint="default"/>
          <w:szCs w:val="22"/>
          <w:lang w:val="en-US" w:eastAsia="zh-CN"/>
        </w:rPr>
        <w:t>12</w:t>
      </w:r>
      <w:r>
        <w:rPr>
          <w:rFonts w:hint="default"/>
          <w:szCs w:val="22"/>
          <w:lang w:val="en-US" w:eastAsia="de-DE"/>
        </w:rPr>
        <w:t>, 20</w:t>
      </w:r>
      <w:r>
        <w:rPr>
          <w:rFonts w:hint="default"/>
          <w:szCs w:val="22"/>
          <w:lang w:val="en-US" w:eastAsia="zh-CN"/>
        </w:rPr>
        <w:t>20</w:t>
      </w:r>
      <w:r>
        <w:rPr>
          <w:rFonts w:hint="default"/>
          <w:szCs w:val="22"/>
          <w:lang w:val="en-US" w:eastAsia="de-DE"/>
        </w:rPr>
        <w:t>.</w:t>
      </w:r>
    </w:p>
    <w:p>
      <w:pPr>
        <w:rPr>
          <w:rFonts w:ascii="Palatino Linotype" w:hAnsi="Palatino Linotype" w:eastAsia="Times New Roman" w:cs="Times New Roman"/>
          <w:snapToGrid w:val="0"/>
          <w:color w:val="000000"/>
          <w:sz w:val="20"/>
          <w:lang w:eastAsia="de-DE" w:bidi="en-US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45F"/>
    <w:multiLevelType w:val="multilevel"/>
    <w:tmpl w:val="250A245F"/>
    <w:lvl w:ilvl="0" w:tentative="0">
      <w:start w:val="1"/>
      <w:numFmt w:val="decimal"/>
      <w:pStyle w:val="12"/>
      <w:lvlText w:val="%1."/>
      <w:lvlJc w:val="left"/>
      <w:pPr>
        <w:ind w:left="780" w:hanging="4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C3"/>
    <w:rsid w:val="00000646"/>
    <w:rsid w:val="001B05B2"/>
    <w:rsid w:val="00402F2B"/>
    <w:rsid w:val="004A301C"/>
    <w:rsid w:val="00507EB1"/>
    <w:rsid w:val="0059225C"/>
    <w:rsid w:val="006453C3"/>
    <w:rsid w:val="00774E45"/>
    <w:rsid w:val="00781EB1"/>
    <w:rsid w:val="00804068"/>
    <w:rsid w:val="008555E7"/>
    <w:rsid w:val="01814086"/>
    <w:rsid w:val="42A1154B"/>
    <w:rsid w:val="4437041B"/>
    <w:rsid w:val="580D5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3">
    <w:name w:val="header"/>
    <w:basedOn w:val="1"/>
    <w:link w:val="8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table" w:styleId="5">
    <w:name w:val="Table Grid"/>
    <w:basedOn w:val="4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  <w:style w:type="character" w:customStyle="1" w:styleId="10">
    <w:name w:val="font01"/>
    <w:basedOn w:val="6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1">
    <w:name w:val="EndNote Bibliography"/>
    <w:basedOn w:val="1"/>
    <w:qFormat/>
    <w:uiPriority w:val="0"/>
    <w:pPr>
      <w:spacing w:line="360" w:lineRule="auto"/>
    </w:pPr>
    <w:rPr>
      <w:rFonts w:ascii="Times New Roman" w:hAnsi="Times New Roman" w:eastAsia="Times New Roman"/>
      <w:sz w:val="20"/>
    </w:rPr>
  </w:style>
  <w:style w:type="paragraph" w:customStyle="1" w:styleId="12">
    <w:name w:val="MDPI_7.1_References"/>
    <w:basedOn w:val="13"/>
    <w:qFormat/>
    <w:uiPriority w:val="0"/>
    <w:pPr>
      <w:numPr>
        <w:ilvl w:val="0"/>
        <w:numId w:val="1"/>
      </w:numPr>
      <w:spacing w:before="0" w:line="260" w:lineRule="atLeast"/>
      <w:ind w:left="425" w:hanging="425"/>
    </w:pPr>
  </w:style>
  <w:style w:type="paragraph" w:customStyle="1" w:styleId="13">
    <w:name w:val="MDPI_6.2_Acknowledgments"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795</Words>
  <Characters>4538</Characters>
  <Lines>37</Lines>
  <Paragraphs>10</Paragraphs>
  <TotalTime>1</TotalTime>
  <ScaleCrop>false</ScaleCrop>
  <LinksUpToDate>false</LinksUpToDate>
  <CharactersWithSpaces>5323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2020-10-02T10:01:00Z</dcterms:created>
  <dc:creator>office</dc:creator>
  <cp:lastModifiedBy>L俏</cp:lastModifiedBy>
  <dcterms:modified xsi:type="dcterms:W3CDTF">2021-01-31T05:57:33Z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